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6C905641" w14:textId="72D41067" w:rsidR="004D380B" w:rsidRDefault="00000000" w:rsidP="004D380B">
          <w:pPr>
            <w:pStyle w:val="Rubrik"/>
            <w:spacing w:before="960"/>
            <w:ind w:right="-1134"/>
            <w:rPr>
              <w:sz w:val="56"/>
            </w:rPr>
          </w:pPr>
          <w:sdt>
            <w:sdtPr>
              <w:rPr>
                <w:szCs w:val="60"/>
              </w:r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007B151C">
                <w:rPr>
                  <w:szCs w:val="60"/>
                </w:rPr>
                <w:t>Göteborgs Stads rutin</w:t>
              </w:r>
              <w:r w:rsidR="00346D7C">
                <w:rPr>
                  <w:szCs w:val="60"/>
                </w:rPr>
                <w:t xml:space="preserve"> för olovlig frånvaro vid beslut om ekonomiskt bistånd</w:t>
              </w:r>
            </w:sdtContent>
          </w:sdt>
        </w:p>
        <w:p w14:paraId="498FF2A7" w14:textId="586E95ED" w:rsidR="00B70B3E" w:rsidRDefault="00E32C31" w:rsidP="004D380B">
          <w:pPr>
            <w:pStyle w:val="Rubrik"/>
            <w:spacing w:before="960"/>
            <w:ind w:right="-1134"/>
          </w:pPr>
          <w:r w:rsidRPr="00E32C31">
            <w:t xml:space="preserve"> </w:t>
          </w:r>
        </w:p>
        <w:p w14:paraId="257A95DE" w14:textId="77777777" w:rsidR="004D380B" w:rsidRPr="004D380B" w:rsidRDefault="004D380B" w:rsidP="004D380B"/>
        <w:p w14:paraId="15117E5B" w14:textId="4D2E5BA2" w:rsidR="00777C4F" w:rsidRPr="00777C4F" w:rsidRDefault="00000000"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1">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2">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5332A04E"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346D7C">
            <w:rPr>
              <w:rFonts w:asciiTheme="majorHAnsi" w:hAnsiTheme="majorHAnsi" w:cstheme="majorHAnsi"/>
              <w:sz w:val="18"/>
              <w:szCs w:val="18"/>
            </w:rPr>
            <w:t>Göteborgs Stads rutin för olovlig frånvaro vid beslut om ekonomiskt bistånd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72684ED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Content>
                <w:r w:rsidR="0055173C">
                  <w:rPr>
                    <w:rFonts w:asciiTheme="majorHAnsi" w:hAnsiTheme="majorHAnsi" w:cstheme="majorHAnsi"/>
                    <w:sz w:val="18"/>
                    <w:szCs w:val="18"/>
                  </w:rPr>
                  <w:t xml:space="preserve">AC-nätverket </w:t>
                </w:r>
                <w:r w:rsidR="00151CA1">
                  <w:rPr>
                    <w:rFonts w:asciiTheme="majorHAnsi" w:hAnsiTheme="majorHAnsi" w:cstheme="majorHAnsi"/>
                    <w:sz w:val="18"/>
                    <w:szCs w:val="18"/>
                  </w:rPr>
                  <w:t xml:space="preserve">vuxen och försörjningsstöd </w:t>
                </w:r>
              </w:sdtContent>
            </w:sdt>
          </w:p>
        </w:tc>
        <w:tc>
          <w:tcPr>
            <w:tcW w:w="2209" w:type="dxa"/>
          </w:tcPr>
          <w:p w14:paraId="5DD27D43" w14:textId="1851EAB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Content>
                <w:r w:rsidR="0055173C">
                  <w:rPr>
                    <w:rFonts w:asciiTheme="majorHAnsi" w:hAnsiTheme="majorHAnsi" w:cstheme="majorHAnsi"/>
                    <w:sz w:val="18"/>
                    <w:szCs w:val="18"/>
                  </w:rPr>
                  <w:t xml:space="preserve">SF Centrum, SF Hisingen, SF Nordost samt SF Sydväst </w:t>
                </w:r>
              </w:sdtContent>
            </w:sdt>
          </w:p>
        </w:tc>
        <w:tc>
          <w:tcPr>
            <w:tcW w:w="2216" w:type="dxa"/>
          </w:tcPr>
          <w:p w14:paraId="6F1C54E5" w14:textId="525D292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showingPlcHdr/>
                <w:text/>
              </w:sdtPr>
              <w:sdtContent>
                <w:r w:rsidRPr="00031F7D">
                  <w:rPr>
                    <w:rStyle w:val="Platshllartext"/>
                    <w:rFonts w:asciiTheme="majorHAnsi" w:hAnsiTheme="majorHAnsi" w:cstheme="majorHAnsi"/>
                    <w:sz w:val="18"/>
                    <w:szCs w:val="18"/>
                  </w:rPr>
                  <w:t>[Nummer]</w:t>
                </w:r>
              </w:sdtContent>
            </w:sdt>
          </w:p>
        </w:tc>
        <w:tc>
          <w:tcPr>
            <w:tcW w:w="2238" w:type="dxa"/>
          </w:tcPr>
          <w:p w14:paraId="2CF1C210" w14:textId="091676BF"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Content>
                <w:r w:rsidR="00346D7C">
                  <w:rPr>
                    <w:rFonts w:asciiTheme="majorHAnsi" w:hAnsiTheme="majorHAnsi" w:cstheme="majorHAnsi"/>
                    <w:sz w:val="18"/>
                    <w:szCs w:val="18"/>
                  </w:rPr>
                  <w:t>220324</w:t>
                </w:r>
              </w:sdtContent>
            </w:sdt>
          </w:p>
        </w:tc>
      </w:tr>
      <w:tr w:rsidR="00031F7D" w:rsidRPr="00B26686" w14:paraId="020FBF1A" w14:textId="77777777" w:rsidTr="0004764B">
        <w:trPr>
          <w:trHeight w:val="730"/>
        </w:trPr>
        <w:tc>
          <w:tcPr>
            <w:tcW w:w="2409" w:type="dxa"/>
          </w:tcPr>
          <w:p w14:paraId="5F6953AF" w14:textId="5642430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55173C">
                  <w:rPr>
                    <w:rFonts w:asciiTheme="majorHAnsi" w:hAnsiTheme="majorHAnsi" w:cstheme="majorHAnsi"/>
                    <w:sz w:val="18"/>
                    <w:szCs w:val="18"/>
                  </w:rPr>
                  <w:t xml:space="preserve">Styrande dokument </w:t>
                </w:r>
              </w:sdtContent>
            </w:sdt>
          </w:p>
        </w:tc>
        <w:tc>
          <w:tcPr>
            <w:tcW w:w="2209" w:type="dxa"/>
          </w:tcPr>
          <w:p w14:paraId="66BC4606" w14:textId="78A2391F"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Content>
                <w:r w:rsidR="00BD0A7E">
                  <w:rPr>
                    <w:rFonts w:asciiTheme="majorHAnsi" w:hAnsiTheme="majorHAnsi" w:cstheme="majorHAnsi"/>
                    <w:sz w:val="18"/>
                    <w:szCs w:val="18"/>
                  </w:rPr>
                  <w:t>tills vidare</w:t>
                </w:r>
              </w:sdtContent>
            </w:sdt>
          </w:p>
        </w:tc>
        <w:tc>
          <w:tcPr>
            <w:tcW w:w="2216" w:type="dxa"/>
          </w:tcPr>
          <w:p w14:paraId="5FD75222" w14:textId="1FC3BEB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Content>
                <w:r w:rsidR="00346D7C">
                  <w:rPr>
                    <w:rFonts w:asciiTheme="majorHAnsi" w:hAnsiTheme="majorHAnsi" w:cstheme="majorHAnsi"/>
                    <w:sz w:val="18"/>
                    <w:szCs w:val="18"/>
                  </w:rPr>
                  <w:t>250</w:t>
                </w:r>
                <w:r w:rsidR="00400AE6">
                  <w:rPr>
                    <w:rFonts w:asciiTheme="majorHAnsi" w:hAnsiTheme="majorHAnsi" w:cstheme="majorHAnsi"/>
                    <w:sz w:val="18"/>
                    <w:szCs w:val="18"/>
                  </w:rPr>
                  <w:t>701</w:t>
                </w:r>
              </w:sdtContent>
            </w:sdt>
          </w:p>
        </w:tc>
        <w:tc>
          <w:tcPr>
            <w:tcW w:w="2238" w:type="dxa"/>
          </w:tcPr>
          <w:p w14:paraId="6276C927" w14:textId="43EF1D7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Content>
                <w:r w:rsidR="00F230EA">
                  <w:rPr>
                    <w:rFonts w:asciiTheme="majorHAnsi" w:hAnsiTheme="majorHAnsi" w:cstheme="majorHAnsi"/>
                    <w:sz w:val="18"/>
                    <w:szCs w:val="18"/>
                  </w:rPr>
                  <w:t xml:space="preserve">Processledare enheten för kvalitet </w:t>
                </w:r>
              </w:sdtContent>
            </w:sdt>
          </w:p>
        </w:tc>
      </w:tr>
    </w:tbl>
    <w:p w14:paraId="7950D8C7" w14:textId="6AA437E4"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23C4F235" w14:textId="4A4146E9" w:rsidR="00B021FE" w:rsidRDefault="009F63F9">
          <w:pPr>
            <w:pStyle w:val="Innehll1"/>
            <w:tabs>
              <w:tab w:val="right" w:leader="dot" w:pos="7926"/>
            </w:tabs>
            <w:rPr>
              <w:rFonts w:asciiTheme="minorHAnsi" w:hAnsiTheme="minorHAnsi"/>
              <w:b w:val="0"/>
              <w:noProof/>
              <w:kern w:val="2"/>
              <w:sz w:val="24"/>
              <w:lang w:eastAsia="sv-SE"/>
              <w14:ligatures w14:val="standardContextual"/>
            </w:rPr>
          </w:pPr>
          <w:r>
            <w:rPr>
              <w:bCs/>
              <w:noProof/>
            </w:rPr>
            <w:fldChar w:fldCharType="begin"/>
          </w:r>
          <w:r>
            <w:rPr>
              <w:bCs/>
              <w:noProof/>
            </w:rPr>
            <w:instrText xml:space="preserve"> TOC \o "1-3" \h \z </w:instrText>
          </w:r>
          <w:r>
            <w:rPr>
              <w:bCs/>
              <w:noProof/>
            </w:rPr>
            <w:fldChar w:fldCharType="separate"/>
          </w:r>
          <w:hyperlink w:anchor="_Toc195624216" w:history="1">
            <w:r w:rsidR="00B021FE" w:rsidRPr="004F7824">
              <w:rPr>
                <w:rStyle w:val="Hyperlnk"/>
                <w:noProof/>
              </w:rPr>
              <w:t>Inledning</w:t>
            </w:r>
            <w:r w:rsidR="00B021FE">
              <w:rPr>
                <w:noProof/>
                <w:webHidden/>
              </w:rPr>
              <w:tab/>
            </w:r>
            <w:r w:rsidR="00B021FE">
              <w:rPr>
                <w:noProof/>
                <w:webHidden/>
              </w:rPr>
              <w:fldChar w:fldCharType="begin"/>
            </w:r>
            <w:r w:rsidR="00B021FE">
              <w:rPr>
                <w:noProof/>
                <w:webHidden/>
              </w:rPr>
              <w:instrText xml:space="preserve"> PAGEREF _Toc195624216 \h </w:instrText>
            </w:r>
            <w:r w:rsidR="00B021FE">
              <w:rPr>
                <w:noProof/>
                <w:webHidden/>
              </w:rPr>
            </w:r>
            <w:r w:rsidR="00B021FE">
              <w:rPr>
                <w:noProof/>
                <w:webHidden/>
              </w:rPr>
              <w:fldChar w:fldCharType="separate"/>
            </w:r>
            <w:r w:rsidR="000F6FEA">
              <w:rPr>
                <w:noProof/>
                <w:webHidden/>
              </w:rPr>
              <w:t>2</w:t>
            </w:r>
            <w:r w:rsidR="00B021FE">
              <w:rPr>
                <w:noProof/>
                <w:webHidden/>
              </w:rPr>
              <w:fldChar w:fldCharType="end"/>
            </w:r>
          </w:hyperlink>
        </w:p>
        <w:p w14:paraId="558C927A" w14:textId="53EDF11A" w:rsidR="00B021FE" w:rsidRDefault="00000000">
          <w:pPr>
            <w:pStyle w:val="Innehll2"/>
            <w:tabs>
              <w:tab w:val="right" w:leader="dot" w:pos="7926"/>
            </w:tabs>
            <w:rPr>
              <w:rFonts w:asciiTheme="minorHAnsi" w:hAnsiTheme="minorHAnsi"/>
              <w:noProof/>
              <w:kern w:val="2"/>
              <w:sz w:val="24"/>
              <w:lang w:eastAsia="sv-SE"/>
              <w14:ligatures w14:val="standardContextual"/>
            </w:rPr>
          </w:pPr>
          <w:hyperlink w:anchor="_Toc195624217" w:history="1">
            <w:r w:rsidR="00B021FE" w:rsidRPr="004F7824">
              <w:rPr>
                <w:rStyle w:val="Hyperlnk"/>
                <w:noProof/>
              </w:rPr>
              <w:t>Syftet med denna rutin</w:t>
            </w:r>
            <w:r w:rsidR="00B021FE">
              <w:rPr>
                <w:noProof/>
                <w:webHidden/>
              </w:rPr>
              <w:tab/>
            </w:r>
            <w:r w:rsidR="00B021FE">
              <w:rPr>
                <w:noProof/>
                <w:webHidden/>
              </w:rPr>
              <w:fldChar w:fldCharType="begin"/>
            </w:r>
            <w:r w:rsidR="00B021FE">
              <w:rPr>
                <w:noProof/>
                <w:webHidden/>
              </w:rPr>
              <w:instrText xml:space="preserve"> PAGEREF _Toc195624217 \h </w:instrText>
            </w:r>
            <w:r w:rsidR="00B021FE">
              <w:rPr>
                <w:noProof/>
                <w:webHidden/>
              </w:rPr>
            </w:r>
            <w:r w:rsidR="00B021FE">
              <w:rPr>
                <w:noProof/>
                <w:webHidden/>
              </w:rPr>
              <w:fldChar w:fldCharType="separate"/>
            </w:r>
            <w:r w:rsidR="000F6FEA">
              <w:rPr>
                <w:noProof/>
                <w:webHidden/>
              </w:rPr>
              <w:t>2</w:t>
            </w:r>
            <w:r w:rsidR="00B021FE">
              <w:rPr>
                <w:noProof/>
                <w:webHidden/>
              </w:rPr>
              <w:fldChar w:fldCharType="end"/>
            </w:r>
          </w:hyperlink>
        </w:p>
        <w:p w14:paraId="0CDC2725" w14:textId="4B7487A2" w:rsidR="00B021FE" w:rsidRDefault="00000000">
          <w:pPr>
            <w:pStyle w:val="Innehll2"/>
            <w:tabs>
              <w:tab w:val="right" w:leader="dot" w:pos="7926"/>
            </w:tabs>
            <w:rPr>
              <w:rFonts w:asciiTheme="minorHAnsi" w:hAnsiTheme="minorHAnsi"/>
              <w:noProof/>
              <w:kern w:val="2"/>
              <w:sz w:val="24"/>
              <w:lang w:eastAsia="sv-SE"/>
              <w14:ligatures w14:val="standardContextual"/>
            </w:rPr>
          </w:pPr>
          <w:hyperlink w:anchor="_Toc195624218" w:history="1">
            <w:r w:rsidR="00B021FE" w:rsidRPr="004F7824">
              <w:rPr>
                <w:rStyle w:val="Hyperlnk"/>
                <w:noProof/>
              </w:rPr>
              <w:t>Vem omfattas av rutin</w:t>
            </w:r>
            <w:r w:rsidR="00B021FE">
              <w:rPr>
                <w:noProof/>
                <w:webHidden/>
              </w:rPr>
              <w:tab/>
            </w:r>
            <w:r w:rsidR="00B021FE">
              <w:rPr>
                <w:noProof/>
                <w:webHidden/>
              </w:rPr>
              <w:fldChar w:fldCharType="begin"/>
            </w:r>
            <w:r w:rsidR="00B021FE">
              <w:rPr>
                <w:noProof/>
                <w:webHidden/>
              </w:rPr>
              <w:instrText xml:space="preserve"> PAGEREF _Toc195624218 \h </w:instrText>
            </w:r>
            <w:r w:rsidR="00B021FE">
              <w:rPr>
                <w:noProof/>
                <w:webHidden/>
              </w:rPr>
            </w:r>
            <w:r w:rsidR="00B021FE">
              <w:rPr>
                <w:noProof/>
                <w:webHidden/>
              </w:rPr>
              <w:fldChar w:fldCharType="separate"/>
            </w:r>
            <w:r w:rsidR="000F6FEA">
              <w:rPr>
                <w:noProof/>
                <w:webHidden/>
              </w:rPr>
              <w:t>2</w:t>
            </w:r>
            <w:r w:rsidR="00B021FE">
              <w:rPr>
                <w:noProof/>
                <w:webHidden/>
              </w:rPr>
              <w:fldChar w:fldCharType="end"/>
            </w:r>
          </w:hyperlink>
        </w:p>
        <w:p w14:paraId="74D65B3A" w14:textId="7892E239" w:rsidR="00B021FE" w:rsidRDefault="00000000">
          <w:pPr>
            <w:pStyle w:val="Innehll2"/>
            <w:tabs>
              <w:tab w:val="right" w:leader="dot" w:pos="7926"/>
            </w:tabs>
            <w:rPr>
              <w:rFonts w:asciiTheme="minorHAnsi" w:hAnsiTheme="minorHAnsi"/>
              <w:noProof/>
              <w:kern w:val="2"/>
              <w:sz w:val="24"/>
              <w:lang w:eastAsia="sv-SE"/>
              <w14:ligatures w14:val="standardContextual"/>
            </w:rPr>
          </w:pPr>
          <w:hyperlink w:anchor="_Toc195624219" w:history="1">
            <w:r w:rsidR="00B021FE" w:rsidRPr="004F7824">
              <w:rPr>
                <w:rStyle w:val="Hyperlnk"/>
                <w:noProof/>
              </w:rPr>
              <w:t>Bakgrund</w:t>
            </w:r>
            <w:r w:rsidR="00B021FE">
              <w:rPr>
                <w:noProof/>
                <w:webHidden/>
              </w:rPr>
              <w:tab/>
            </w:r>
            <w:r w:rsidR="00B021FE">
              <w:rPr>
                <w:noProof/>
                <w:webHidden/>
              </w:rPr>
              <w:fldChar w:fldCharType="begin"/>
            </w:r>
            <w:r w:rsidR="00B021FE">
              <w:rPr>
                <w:noProof/>
                <w:webHidden/>
              </w:rPr>
              <w:instrText xml:space="preserve"> PAGEREF _Toc195624219 \h </w:instrText>
            </w:r>
            <w:r w:rsidR="00B021FE">
              <w:rPr>
                <w:noProof/>
                <w:webHidden/>
              </w:rPr>
            </w:r>
            <w:r w:rsidR="00B021FE">
              <w:rPr>
                <w:noProof/>
                <w:webHidden/>
              </w:rPr>
              <w:fldChar w:fldCharType="separate"/>
            </w:r>
            <w:r w:rsidR="000F6FEA">
              <w:rPr>
                <w:noProof/>
                <w:webHidden/>
              </w:rPr>
              <w:t>2</w:t>
            </w:r>
            <w:r w:rsidR="00B021FE">
              <w:rPr>
                <w:noProof/>
                <w:webHidden/>
              </w:rPr>
              <w:fldChar w:fldCharType="end"/>
            </w:r>
          </w:hyperlink>
        </w:p>
        <w:p w14:paraId="5E76C764" w14:textId="5AD81C91" w:rsidR="00B021FE" w:rsidRDefault="00000000">
          <w:pPr>
            <w:pStyle w:val="Innehll2"/>
            <w:tabs>
              <w:tab w:val="right" w:leader="dot" w:pos="7926"/>
            </w:tabs>
            <w:rPr>
              <w:rFonts w:asciiTheme="minorHAnsi" w:hAnsiTheme="minorHAnsi"/>
              <w:noProof/>
              <w:kern w:val="2"/>
              <w:sz w:val="24"/>
              <w:lang w:eastAsia="sv-SE"/>
              <w14:ligatures w14:val="standardContextual"/>
            </w:rPr>
          </w:pPr>
          <w:hyperlink w:anchor="_Toc195624220" w:history="1">
            <w:r w:rsidR="00B021FE" w:rsidRPr="004F7824">
              <w:rPr>
                <w:rStyle w:val="Hyperlnk"/>
                <w:noProof/>
              </w:rPr>
              <w:t>Koppling till andra styrande dokument</w:t>
            </w:r>
            <w:r w:rsidR="00B021FE">
              <w:rPr>
                <w:noProof/>
                <w:webHidden/>
              </w:rPr>
              <w:tab/>
            </w:r>
            <w:r w:rsidR="00B021FE">
              <w:rPr>
                <w:noProof/>
                <w:webHidden/>
              </w:rPr>
              <w:fldChar w:fldCharType="begin"/>
            </w:r>
            <w:r w:rsidR="00B021FE">
              <w:rPr>
                <w:noProof/>
                <w:webHidden/>
              </w:rPr>
              <w:instrText xml:space="preserve"> PAGEREF _Toc195624220 \h </w:instrText>
            </w:r>
            <w:r w:rsidR="00B021FE">
              <w:rPr>
                <w:noProof/>
                <w:webHidden/>
              </w:rPr>
            </w:r>
            <w:r w:rsidR="00B021FE">
              <w:rPr>
                <w:noProof/>
                <w:webHidden/>
              </w:rPr>
              <w:fldChar w:fldCharType="separate"/>
            </w:r>
            <w:r w:rsidR="000F6FEA">
              <w:rPr>
                <w:noProof/>
                <w:webHidden/>
              </w:rPr>
              <w:t>3</w:t>
            </w:r>
            <w:r w:rsidR="00B021FE">
              <w:rPr>
                <w:noProof/>
                <w:webHidden/>
              </w:rPr>
              <w:fldChar w:fldCharType="end"/>
            </w:r>
          </w:hyperlink>
        </w:p>
        <w:p w14:paraId="0DCC22F8" w14:textId="5CE87ACA" w:rsidR="00B021FE" w:rsidRDefault="00000000">
          <w:pPr>
            <w:pStyle w:val="Innehll2"/>
            <w:tabs>
              <w:tab w:val="right" w:leader="dot" w:pos="7926"/>
            </w:tabs>
            <w:rPr>
              <w:rFonts w:asciiTheme="minorHAnsi" w:hAnsiTheme="minorHAnsi"/>
              <w:noProof/>
              <w:kern w:val="2"/>
              <w:sz w:val="24"/>
              <w:lang w:eastAsia="sv-SE"/>
              <w14:ligatures w14:val="standardContextual"/>
            </w:rPr>
          </w:pPr>
          <w:hyperlink w:anchor="_Toc195624221" w:history="1">
            <w:r w:rsidR="00B021FE" w:rsidRPr="004F7824">
              <w:rPr>
                <w:rStyle w:val="Hyperlnk"/>
                <w:noProof/>
              </w:rPr>
              <w:t>Stödjande dokument</w:t>
            </w:r>
            <w:r w:rsidR="00B021FE">
              <w:rPr>
                <w:noProof/>
                <w:webHidden/>
              </w:rPr>
              <w:tab/>
            </w:r>
            <w:r w:rsidR="00B021FE">
              <w:rPr>
                <w:noProof/>
                <w:webHidden/>
              </w:rPr>
              <w:fldChar w:fldCharType="begin"/>
            </w:r>
            <w:r w:rsidR="00B021FE">
              <w:rPr>
                <w:noProof/>
                <w:webHidden/>
              </w:rPr>
              <w:instrText xml:space="preserve"> PAGEREF _Toc195624221 \h </w:instrText>
            </w:r>
            <w:r w:rsidR="00B021FE">
              <w:rPr>
                <w:noProof/>
                <w:webHidden/>
              </w:rPr>
            </w:r>
            <w:r w:rsidR="00B021FE">
              <w:rPr>
                <w:noProof/>
                <w:webHidden/>
              </w:rPr>
              <w:fldChar w:fldCharType="separate"/>
            </w:r>
            <w:r w:rsidR="000F6FEA">
              <w:rPr>
                <w:noProof/>
                <w:webHidden/>
              </w:rPr>
              <w:t>3</w:t>
            </w:r>
            <w:r w:rsidR="00B021FE">
              <w:rPr>
                <w:noProof/>
                <w:webHidden/>
              </w:rPr>
              <w:fldChar w:fldCharType="end"/>
            </w:r>
          </w:hyperlink>
        </w:p>
        <w:p w14:paraId="6B663D30" w14:textId="7AB14C5A" w:rsidR="00B021FE" w:rsidRDefault="00000000">
          <w:pPr>
            <w:pStyle w:val="Innehll1"/>
            <w:tabs>
              <w:tab w:val="right" w:leader="dot" w:pos="7926"/>
            </w:tabs>
            <w:rPr>
              <w:rFonts w:asciiTheme="minorHAnsi" w:hAnsiTheme="minorHAnsi"/>
              <w:b w:val="0"/>
              <w:noProof/>
              <w:kern w:val="2"/>
              <w:sz w:val="24"/>
              <w:lang w:eastAsia="sv-SE"/>
              <w14:ligatures w14:val="standardContextual"/>
            </w:rPr>
          </w:pPr>
          <w:hyperlink w:anchor="_Toc195624222" w:history="1">
            <w:r w:rsidR="00B021FE" w:rsidRPr="004F7824">
              <w:rPr>
                <w:rStyle w:val="Hyperlnk"/>
                <w:noProof/>
              </w:rPr>
              <w:t>Rutin</w:t>
            </w:r>
            <w:r w:rsidR="00B021FE">
              <w:rPr>
                <w:noProof/>
                <w:webHidden/>
              </w:rPr>
              <w:tab/>
            </w:r>
            <w:r w:rsidR="00B021FE">
              <w:rPr>
                <w:noProof/>
                <w:webHidden/>
              </w:rPr>
              <w:fldChar w:fldCharType="begin"/>
            </w:r>
            <w:r w:rsidR="00B021FE">
              <w:rPr>
                <w:noProof/>
                <w:webHidden/>
              </w:rPr>
              <w:instrText xml:space="preserve"> PAGEREF _Toc195624222 \h </w:instrText>
            </w:r>
            <w:r w:rsidR="00B021FE">
              <w:rPr>
                <w:noProof/>
                <w:webHidden/>
              </w:rPr>
            </w:r>
            <w:r w:rsidR="00B021FE">
              <w:rPr>
                <w:noProof/>
                <w:webHidden/>
              </w:rPr>
              <w:fldChar w:fldCharType="separate"/>
            </w:r>
            <w:r w:rsidR="000F6FEA">
              <w:rPr>
                <w:noProof/>
                <w:webHidden/>
              </w:rPr>
              <w:t>4</w:t>
            </w:r>
            <w:r w:rsidR="00B021FE">
              <w:rPr>
                <w:noProof/>
                <w:webHidden/>
              </w:rPr>
              <w:fldChar w:fldCharType="end"/>
            </w:r>
          </w:hyperlink>
        </w:p>
        <w:p w14:paraId="79536EC4" w14:textId="4C464403" w:rsidR="00C92305" w:rsidRDefault="009F63F9">
          <w:r>
            <w:rPr>
              <w:rFonts w:asciiTheme="majorHAnsi" w:hAnsiTheme="majorHAnsi"/>
              <w:bCs/>
              <w:noProof/>
            </w:rPr>
            <w:fldChar w:fldCharType="end"/>
          </w:r>
        </w:p>
      </w:sdtContent>
    </w:sdt>
    <w:bookmarkStart w:id="1" w:name="_Toc195624216" w:displacedByCustomXml="next"/>
    <w:bookmarkStart w:id="2" w:name="_Toc68098959" w:displacedByCustomXml="next"/>
    <w:sdt>
      <w:sdtPr>
        <w:rPr>
          <w:sz w:val="27"/>
          <w:szCs w:val="28"/>
        </w:rPr>
        <w:id w:val="-642495928"/>
        <w:lock w:val="contentLocked"/>
        <w:placeholder>
          <w:docPart w:val="1E86A050A95649B59A18333649A854D7"/>
        </w:placeholder>
        <w:group/>
      </w:sdtPr>
      <w:sdtContent>
        <w:p w14:paraId="1CF4B7FA" w14:textId="77777777" w:rsidR="00C92305" w:rsidRDefault="00C92305" w:rsidP="00C92305">
          <w:pPr>
            <w:pStyle w:val="Rubrik1"/>
          </w:pPr>
          <w:r>
            <w:t>Inledning</w:t>
          </w:r>
          <w:bookmarkEnd w:id="2"/>
          <w:bookmarkEnd w:id="1"/>
        </w:p>
        <w:p w14:paraId="7342A931" w14:textId="03DCF82B" w:rsidR="003D0609" w:rsidRDefault="003D0609" w:rsidP="003D0609">
          <w:pPr>
            <w:pStyle w:val="Rubrik2"/>
          </w:pPr>
          <w:bookmarkStart w:id="3" w:name="_Toc68098960"/>
          <w:bookmarkStart w:id="4" w:name="_Toc195624217"/>
          <w:r>
            <w:t>Syftet med de</w:t>
          </w:r>
          <w:r w:rsidR="00880F96">
            <w:t xml:space="preserve">nna </w:t>
          </w:r>
          <w:r w:rsidR="00B70B3E">
            <w:t>rutin</w:t>
          </w:r>
        </w:p>
      </w:sdtContent>
    </w:sdt>
    <w:bookmarkEnd w:id="4" w:displacedByCustomXml="prev"/>
    <w:bookmarkEnd w:id="3" w:displacedByCustomXml="prev"/>
    <w:p w14:paraId="4E56A75D" w14:textId="67BD976F" w:rsidR="00346D7C" w:rsidRPr="00CF7805" w:rsidRDefault="00346D7C" w:rsidP="00346D7C">
      <w:pPr>
        <w:rPr>
          <w:rFonts w:cstheme="minorHAnsi"/>
        </w:rPr>
      </w:pPr>
      <w:r w:rsidRPr="00CF7805">
        <w:rPr>
          <w:rFonts w:cstheme="minorHAnsi"/>
        </w:rPr>
        <w:t xml:space="preserve">Syftet med rutinen är att stadens fyra socialförvaltningarna ska ha samma utgångspunkter i hantering och vid bedömning av olovlig frånvaro vid ansökan om ekonomiskt bistånd. </w:t>
      </w:r>
    </w:p>
    <w:bookmarkStart w:id="5" w:name="_Toc195624218" w:displacedByCustomXml="next"/>
    <w:bookmarkStart w:id="6" w:name="_Toc68098961" w:displacedByCustomXml="next"/>
    <w:sdt>
      <w:sdtPr>
        <w:id w:val="141783515"/>
        <w:lock w:val="contentLocked"/>
        <w:placeholder>
          <w:docPart w:val="1E86A050A95649B59A18333649A854D7"/>
        </w:placeholder>
        <w:group/>
      </w:sdtPr>
      <w:sdtContent>
        <w:p w14:paraId="20C7E05F" w14:textId="7011DC7A" w:rsidR="003D0609" w:rsidRDefault="003D0609" w:rsidP="003D0609">
          <w:pPr>
            <w:pStyle w:val="Rubrik2"/>
          </w:pPr>
          <w:r>
            <w:t xml:space="preserve">Vem omfattas av </w:t>
          </w:r>
          <w:r w:rsidR="00B70B3E">
            <w:t>rutin</w:t>
          </w:r>
        </w:p>
      </w:sdtContent>
    </w:sdt>
    <w:bookmarkEnd w:id="5" w:displacedByCustomXml="prev"/>
    <w:bookmarkEnd w:id="6" w:displacedByCustomXml="prev"/>
    <w:p w14:paraId="3F6CB66F" w14:textId="6C7B18EE" w:rsidR="00E32C31" w:rsidRPr="00CF7805" w:rsidRDefault="00D8399A" w:rsidP="00D8399A">
      <w:pPr>
        <w:rPr>
          <w:rFonts w:cstheme="minorHAnsi"/>
        </w:rPr>
      </w:pPr>
      <w:bookmarkStart w:id="7" w:name="_Toc68098962"/>
      <w:r w:rsidRPr="00CF7805">
        <w:rPr>
          <w:rFonts w:cstheme="minorHAnsi"/>
        </w:rPr>
        <w:t xml:space="preserve">Rutinen </w:t>
      </w:r>
      <w:r w:rsidR="00624B8D" w:rsidRPr="00CF7805">
        <w:rPr>
          <w:rFonts w:cstheme="minorHAnsi"/>
        </w:rPr>
        <w:t xml:space="preserve">omfattar personal som arbetar med ekonomiskt bistånd inom </w:t>
      </w:r>
      <w:r w:rsidRPr="00CF7805">
        <w:rPr>
          <w:rFonts w:cstheme="minorHAnsi"/>
        </w:rPr>
        <w:t xml:space="preserve">SF Centrum, SF Hisingen, SF Nordost, SF Sydväst.  </w:t>
      </w:r>
    </w:p>
    <w:p w14:paraId="6D73164D" w14:textId="1CCA743D" w:rsidR="00346D7C" w:rsidRDefault="00FC254C" w:rsidP="003D0609">
      <w:pPr>
        <w:pStyle w:val="Rubrik2"/>
      </w:pPr>
      <w:bookmarkStart w:id="8" w:name="_Toc195624219"/>
      <w:bookmarkStart w:id="9" w:name="_Toc68098963"/>
      <w:bookmarkEnd w:id="7"/>
      <w:r>
        <w:t>Bakgrund</w:t>
      </w:r>
      <w:bookmarkEnd w:id="8"/>
    </w:p>
    <w:p w14:paraId="76865624" w14:textId="77777777" w:rsidR="00FC254C" w:rsidRDefault="00FC254C" w:rsidP="00FC254C">
      <w:pPr>
        <w:rPr>
          <w:rFonts w:cstheme="minorHAnsi"/>
        </w:rPr>
      </w:pPr>
      <w:r w:rsidRPr="00CF7805">
        <w:rPr>
          <w:rFonts w:cstheme="minorHAnsi"/>
        </w:rPr>
        <w:t xml:space="preserve">I Socialtjänstlagen (SoL) anges i </w:t>
      </w:r>
      <w:r>
        <w:rPr>
          <w:rFonts w:cstheme="minorHAnsi"/>
        </w:rPr>
        <w:t xml:space="preserve">12 </w:t>
      </w:r>
      <w:r w:rsidRPr="00CF7805">
        <w:rPr>
          <w:rFonts w:cstheme="minorHAnsi"/>
        </w:rPr>
        <w:t>kap 1 § SoL att den som inte kan försörja sig men som kan arbeta har rätt till försörjningsstöd enligt första stycket om han eller hon står till arbetsmarknadens förfogande, i vilket ingår att vid behov delta i kommunal vuxenutbildning i svenska för invandrare eller motsvarande utbildning vid folkhögskola. Om det finns godtagbara skäl har den enskilde rätt till försörjningsstöd även om han eller hon inte står till arbetsmarknadens förfogande.</w:t>
      </w:r>
    </w:p>
    <w:p w14:paraId="1AA391C0" w14:textId="77777777" w:rsidR="00FC254C" w:rsidRDefault="00FC254C" w:rsidP="00FC254C">
      <w:r>
        <w:lastRenderedPageBreak/>
        <w:t xml:space="preserve">I Socialtjänstlagen (SoL) anges i </w:t>
      </w:r>
      <w:r w:rsidRPr="00AE3D72">
        <w:t>12 Kap 3 §</w:t>
      </w:r>
      <w:r>
        <w:t xml:space="preserve"> att en enskild som kan arbeta, men som inte kan försörja sig, har rätt till försörjningsstöd om han eller hon står till arbetsmarknadens förfogande. I detta ingår att vid behov delta i kommunal vuxenutbildning i svenska för invandrare eller motsvarande utbildning vid folkhögskola. Om det finns godtagbara skäl, har den enskilde rätt till försörjningsstöd även om han eller hon inte står till arbetsmarknadens förfogande.</w:t>
      </w:r>
    </w:p>
    <w:p w14:paraId="101B312B" w14:textId="77777777" w:rsidR="00FC254C" w:rsidRDefault="00FC254C" w:rsidP="00FC254C">
      <w:r w:rsidRPr="00AE3D72">
        <w:t>I 12 kap 4 §</w:t>
      </w:r>
      <w:r>
        <w:t xml:space="preserve"> SoL anges att om en enskild som får försörjningsstöd inte har kunnat erbjudas någon lämplig arbetsmarknadspolitisk åtgärd, får socialnämnden begära att han eller hon under viss tid ska delta i praktik eller annan kompetenshöjande verksamhet som nämnden anvisar. </w:t>
      </w:r>
    </w:p>
    <w:p w14:paraId="7E39FDDB" w14:textId="77777777" w:rsidR="00FC254C" w:rsidRDefault="00FC254C" w:rsidP="00FC254C">
      <w:pPr>
        <w:rPr>
          <w:b/>
          <w:bCs/>
        </w:rPr>
      </w:pPr>
      <w:r w:rsidRPr="00AE3D72">
        <w:t>I 12 Kap 5 §</w:t>
      </w:r>
      <w:r>
        <w:t xml:space="preserve"> SoL anges att om den enskilde utan godtagbart skäl avböjer att delta i praktik eller någon annan kompetenshöjande verksamhet som anvisats enligt 4 §, får fortsatt försörjningsstöd nekas eller sättas ned. Detsamma gäller om han eller hon uteblir från praktiken eller den kompetenshöjande verksamheten utan godtagbart skäl</w:t>
      </w:r>
    </w:p>
    <w:p w14:paraId="11CCC674" w14:textId="557CC7D2" w:rsidR="00FC254C" w:rsidRPr="00CF7805" w:rsidRDefault="00FC254C" w:rsidP="00FC254C">
      <w:pPr>
        <w:rPr>
          <w:rFonts w:cstheme="minorHAnsi"/>
        </w:rPr>
      </w:pPr>
      <w:r w:rsidRPr="00CF7805">
        <w:rPr>
          <w:rFonts w:cstheme="minorHAnsi"/>
        </w:rPr>
        <w:t>Av förarbetena till</w:t>
      </w:r>
      <w:r>
        <w:rPr>
          <w:rFonts w:cstheme="minorHAnsi"/>
        </w:rPr>
        <w:t xml:space="preserve"> 4 kap 5 § SoL (jmf 12 kap </w:t>
      </w:r>
      <w:r w:rsidRPr="00CF7805">
        <w:rPr>
          <w:rFonts w:cstheme="minorHAnsi"/>
        </w:rPr>
        <w:t xml:space="preserve">5 § </w:t>
      </w:r>
      <w:r>
        <w:rPr>
          <w:rFonts w:cstheme="minorHAnsi"/>
        </w:rPr>
        <w:t>SoL)</w:t>
      </w:r>
      <w:r w:rsidRPr="00CF7805">
        <w:rPr>
          <w:rFonts w:cstheme="minorHAnsi"/>
        </w:rPr>
        <w:t xml:space="preserve"> framgår följande</w:t>
      </w:r>
      <w:r>
        <w:rPr>
          <w:rFonts w:cstheme="minorHAnsi"/>
        </w:rPr>
        <w:t>;</w:t>
      </w:r>
      <w:r w:rsidRPr="00CF7805">
        <w:rPr>
          <w:rFonts w:cstheme="minorHAnsi"/>
        </w:rPr>
        <w:t xml:space="preserve"> Godtagbara skäl för att utebli från verksamheten kan t.ex. vara sjukdom hos den enskilde själv eller hos hemmavarande barn, besök hos Arbetsförmedling eller studievägledare, och dylikt. Om nämnden inte accepterar skälen bör nämnden i första hand överväga viss nedsättning av försörjningsstödet. Att helt vägra försörjningsstöd bör bara undantagsvis komma i fråga, såsom om den enskilde upprepade gånger uteblir och inte bättrar sig trots samtal med nämnden och andra åtgärder från nämndens sida.</w:t>
      </w:r>
      <w:r>
        <w:rPr>
          <w:rStyle w:val="Fotnotsreferens"/>
          <w:rFonts w:cstheme="minorHAnsi"/>
        </w:rPr>
        <w:footnoteReference w:id="1"/>
      </w:r>
    </w:p>
    <w:p w14:paraId="77E60869" w14:textId="77777777" w:rsidR="00FC254C" w:rsidRPr="00CF7805" w:rsidRDefault="00FC254C" w:rsidP="00FC254C">
      <w:pPr>
        <w:rPr>
          <w:rFonts w:cstheme="minorHAnsi"/>
        </w:rPr>
      </w:pPr>
      <w:r w:rsidRPr="00CF7805">
        <w:rPr>
          <w:rFonts w:cstheme="minorHAnsi"/>
        </w:rPr>
        <w:t xml:space="preserve">Det är möjligt att delta i </w:t>
      </w:r>
      <w:r>
        <w:rPr>
          <w:rFonts w:cstheme="minorHAnsi"/>
        </w:rPr>
        <w:t xml:space="preserve">insats eller aktivitet </w:t>
      </w:r>
      <w:r w:rsidRPr="00CF7805">
        <w:rPr>
          <w:rFonts w:cstheme="minorHAnsi"/>
        </w:rPr>
        <w:t>som Social</w:t>
      </w:r>
      <w:r>
        <w:rPr>
          <w:rFonts w:cstheme="minorHAnsi"/>
        </w:rPr>
        <w:t>förvaltningen</w:t>
      </w:r>
      <w:r w:rsidRPr="00CF7805">
        <w:rPr>
          <w:rFonts w:cstheme="minorHAnsi"/>
        </w:rPr>
        <w:t xml:space="preserve"> inte har anvisat till</w:t>
      </w:r>
      <w:r>
        <w:rPr>
          <w:rFonts w:cstheme="minorHAnsi"/>
        </w:rPr>
        <w:t xml:space="preserve"> enligt 12 kap 4 § SoL</w:t>
      </w:r>
      <w:r w:rsidRPr="00CF7805">
        <w:rPr>
          <w:rFonts w:cstheme="minorHAnsi"/>
        </w:rPr>
        <w:t xml:space="preserve">. Beslut </w:t>
      </w:r>
      <w:r>
        <w:rPr>
          <w:rFonts w:cstheme="minorHAnsi"/>
        </w:rPr>
        <w:t xml:space="preserve">ska då </w:t>
      </w:r>
      <w:r w:rsidRPr="00CF7805">
        <w:rPr>
          <w:rFonts w:cstheme="minorHAnsi"/>
        </w:rPr>
        <w:t xml:space="preserve">fattas enligt </w:t>
      </w:r>
      <w:r>
        <w:rPr>
          <w:rFonts w:cstheme="minorHAnsi"/>
        </w:rPr>
        <w:t>12</w:t>
      </w:r>
      <w:r w:rsidRPr="00CF7805">
        <w:rPr>
          <w:rFonts w:cstheme="minorHAnsi"/>
        </w:rPr>
        <w:t xml:space="preserve"> kap 1 § Socialtjänstlagen.</w:t>
      </w:r>
    </w:p>
    <w:p w14:paraId="65D70D5A" w14:textId="732B8A92" w:rsidR="003D0609" w:rsidRDefault="003D0609" w:rsidP="003D0609">
      <w:pPr>
        <w:pStyle w:val="Rubrik2"/>
      </w:pPr>
      <w:bookmarkStart w:id="10" w:name="_Toc195624220"/>
      <w:r>
        <w:t>Koppling till andra styrande dokument</w:t>
      </w:r>
      <w:bookmarkEnd w:id="9"/>
      <w:bookmarkEnd w:id="10"/>
    </w:p>
    <w:tbl>
      <w:tblPr>
        <w:tblStyle w:val="Tabellrutnt"/>
        <w:tblW w:w="0" w:type="auto"/>
        <w:tblCellMar>
          <w:top w:w="85" w:type="dxa"/>
          <w:bottom w:w="85" w:type="dxa"/>
        </w:tblCellMar>
        <w:tblLook w:val="04A0" w:firstRow="1" w:lastRow="0" w:firstColumn="1" w:lastColumn="0" w:noHBand="0" w:noVBand="1"/>
      </w:tblPr>
      <w:tblGrid>
        <w:gridCol w:w="3963"/>
        <w:gridCol w:w="3963"/>
      </w:tblGrid>
      <w:tr w:rsidR="007F40CB" w14:paraId="5F0CC6E6" w14:textId="77777777" w:rsidTr="00AC010A">
        <w:trPr>
          <w:cnfStyle w:val="100000000000" w:firstRow="1" w:lastRow="0" w:firstColumn="0" w:lastColumn="0" w:oddVBand="0" w:evenVBand="0" w:oddHBand="0" w:evenHBand="0" w:firstRowFirstColumn="0" w:firstRowLastColumn="0" w:lastRowFirstColumn="0" w:lastRowLastColumn="0"/>
          <w:trHeight w:val="283"/>
        </w:trPr>
        <w:tc>
          <w:tcPr>
            <w:tcW w:w="3963" w:type="dxa"/>
            <w:vAlign w:val="center"/>
          </w:tcPr>
          <w:p w14:paraId="291E0D11" w14:textId="77777777" w:rsidR="007F40CB" w:rsidRPr="003926E1" w:rsidRDefault="007F40CB" w:rsidP="00AC010A">
            <w:pPr>
              <w:spacing w:before="40" w:after="0" w:afterAutospacing="0"/>
              <w:rPr>
                <w:rFonts w:asciiTheme="majorHAnsi" w:hAnsiTheme="majorHAnsi" w:cstheme="majorHAnsi"/>
                <w:sz w:val="20"/>
                <w:szCs w:val="22"/>
              </w:rPr>
            </w:pPr>
            <w:bookmarkStart w:id="11" w:name="_Hlk71114406"/>
            <w:bookmarkStart w:id="12" w:name="_Toc68098964"/>
            <w:r w:rsidRPr="003926E1">
              <w:rPr>
                <w:rFonts w:asciiTheme="majorHAnsi" w:hAnsiTheme="majorHAnsi" w:cstheme="majorHAnsi"/>
                <w:sz w:val="20"/>
                <w:szCs w:val="22"/>
              </w:rPr>
              <w:t>Styrande dokument</w:t>
            </w:r>
          </w:p>
        </w:tc>
        <w:tc>
          <w:tcPr>
            <w:tcW w:w="3963" w:type="dxa"/>
            <w:vAlign w:val="center"/>
          </w:tcPr>
          <w:p w14:paraId="00E7FE20" w14:textId="77777777" w:rsidR="007F40CB" w:rsidRPr="003926E1" w:rsidRDefault="007F40CB" w:rsidP="00AC010A">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Koppling till de</w:t>
            </w:r>
            <w:r>
              <w:rPr>
                <w:rFonts w:asciiTheme="majorHAnsi" w:hAnsiTheme="majorHAnsi" w:cstheme="majorHAnsi"/>
                <w:sz w:val="20"/>
                <w:szCs w:val="22"/>
              </w:rPr>
              <w:t>nna anvisning</w:t>
            </w:r>
          </w:p>
        </w:tc>
      </w:tr>
      <w:tr w:rsidR="007F40CB" w14:paraId="7F870CA1" w14:textId="77777777" w:rsidTr="00AC010A">
        <w:trPr>
          <w:trHeight w:val="283"/>
        </w:trPr>
        <w:tc>
          <w:tcPr>
            <w:tcW w:w="3963" w:type="dxa"/>
          </w:tcPr>
          <w:p w14:paraId="72CC22F2" w14:textId="77777777" w:rsidR="007F40CB" w:rsidRDefault="00000000" w:rsidP="00AC010A">
            <w:pPr>
              <w:spacing w:after="0" w:afterAutospacing="0"/>
            </w:pPr>
            <w:hyperlink r:id="rId13" w:history="1">
              <w:r w:rsidR="007F40CB" w:rsidRPr="00F07AFC">
                <w:rPr>
                  <w:rStyle w:val="Hyperlnk"/>
                  <w:rFonts w:ascii="Calibri" w:eastAsiaTheme="minorHAnsi" w:hAnsi="Calibri" w:cs="Calibri"/>
                  <w:bCs/>
                  <w:szCs w:val="22"/>
                </w:rPr>
                <w:t>Göteborgs Stads riktlinjer för individuellt ekonomiskt stöd</w:t>
              </w:r>
            </w:hyperlink>
          </w:p>
        </w:tc>
        <w:tc>
          <w:tcPr>
            <w:tcW w:w="3963" w:type="dxa"/>
          </w:tcPr>
          <w:p w14:paraId="1C659162" w14:textId="77777777" w:rsidR="007F40CB" w:rsidRDefault="007F40CB" w:rsidP="00AC010A">
            <w:pPr>
              <w:spacing w:after="100"/>
            </w:pPr>
            <w:r w:rsidRPr="00014870">
              <w:rPr>
                <w:rFonts w:ascii="Calibri" w:hAnsi="Calibri" w:cs="Calibri"/>
              </w:rPr>
              <w:t xml:space="preserve">Avsnitt </w:t>
            </w:r>
            <w:r>
              <w:rPr>
                <w:rFonts w:ascii="Calibri" w:hAnsi="Calibri" w:cs="Calibri"/>
              </w:rPr>
              <w:t>b</w:t>
            </w:r>
            <w:r w:rsidRPr="00014870">
              <w:rPr>
                <w:rFonts w:ascii="Calibri" w:hAnsi="Calibri" w:cs="Calibri"/>
              </w:rPr>
              <w:t>istånd i form av arbetsfrämjande insatser samt</w:t>
            </w:r>
            <w:r>
              <w:rPr>
                <w:rFonts w:ascii="Calibri" w:hAnsi="Calibri" w:cs="Calibri"/>
              </w:rPr>
              <w:t xml:space="preserve"> avsnitt</w:t>
            </w:r>
            <w:r w:rsidRPr="00014870">
              <w:rPr>
                <w:rFonts w:ascii="Calibri" w:hAnsi="Calibri" w:cs="Calibri"/>
              </w:rPr>
              <w:t xml:space="preserve"> bistånd i form av rehabiliterande insatser</w:t>
            </w:r>
            <w:r>
              <w:t xml:space="preserve"> </w:t>
            </w:r>
          </w:p>
        </w:tc>
      </w:tr>
    </w:tbl>
    <w:p w14:paraId="6DF8DBC5" w14:textId="77777777" w:rsidR="00CF7805" w:rsidRDefault="00CF7805" w:rsidP="00CF7805">
      <w:pPr>
        <w:pStyle w:val="Rubrik2"/>
      </w:pPr>
      <w:bookmarkStart w:id="13" w:name="_Toc195624221"/>
      <w:bookmarkEnd w:id="11"/>
      <w:bookmarkEnd w:id="12"/>
      <w:r>
        <w:t>Stödjande dokument</w:t>
      </w:r>
      <w:bookmarkEnd w:id="13"/>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CF7805" w14:paraId="5559B175" w14:textId="77777777" w:rsidTr="006E4126">
        <w:tc>
          <w:tcPr>
            <w:tcW w:w="7933" w:type="dxa"/>
            <w:shd w:val="clear" w:color="auto" w:fill="D9D9D9" w:themeFill="background1" w:themeFillShade="D9"/>
          </w:tcPr>
          <w:p w14:paraId="61E2D030" w14:textId="77777777" w:rsidR="00CF7805" w:rsidRPr="00980178" w:rsidRDefault="00CF7805" w:rsidP="006E4126">
            <w:pPr>
              <w:spacing w:after="0"/>
              <w:outlineLvl w:val="0"/>
              <w:rPr>
                <w:rFonts w:cs="Arial"/>
                <w:b/>
              </w:rPr>
            </w:pPr>
            <w:r>
              <w:rPr>
                <w:rFonts w:cs="Arial"/>
                <w:b/>
              </w:rPr>
              <w:t>Handlingstyp</w:t>
            </w:r>
          </w:p>
        </w:tc>
      </w:tr>
      <w:tr w:rsidR="00CF7805" w14:paraId="40EE1E78" w14:textId="77777777" w:rsidTr="006E4126">
        <w:tc>
          <w:tcPr>
            <w:tcW w:w="7933" w:type="dxa"/>
          </w:tcPr>
          <w:p w14:paraId="6CF9A9A5" w14:textId="77777777" w:rsidR="00CF7805" w:rsidRPr="00771A26" w:rsidRDefault="00CF7805" w:rsidP="006E4126">
            <w:pPr>
              <w:spacing w:after="0"/>
              <w:outlineLvl w:val="0"/>
              <w:rPr>
                <w:rFonts w:cs="Arial"/>
                <w:iCs/>
              </w:rPr>
            </w:pPr>
            <w:r>
              <w:rPr>
                <w:rFonts w:cs="Arial"/>
                <w:iCs/>
              </w:rPr>
              <w:t>Broschyr ”Närvaro och frånvaro”</w:t>
            </w:r>
          </w:p>
        </w:tc>
      </w:tr>
      <w:tr w:rsidR="00CF7805" w14:paraId="32F058A7" w14:textId="77777777" w:rsidTr="006E4126">
        <w:tc>
          <w:tcPr>
            <w:tcW w:w="7933" w:type="dxa"/>
          </w:tcPr>
          <w:p w14:paraId="0A13C16E" w14:textId="77777777" w:rsidR="00CF7805" w:rsidRDefault="00CF7805" w:rsidP="006E4126">
            <w:pPr>
              <w:spacing w:after="0"/>
              <w:outlineLvl w:val="0"/>
              <w:rPr>
                <w:rFonts w:cs="Arial"/>
              </w:rPr>
            </w:pPr>
            <w:r>
              <w:rPr>
                <w:rFonts w:cs="Arial"/>
                <w:iCs/>
              </w:rPr>
              <w:t>Dom K</w:t>
            </w:r>
            <w:r w:rsidRPr="008721BA">
              <w:rPr>
                <w:rFonts w:cs="Arial"/>
                <w:iCs/>
              </w:rPr>
              <w:t>ammarrätten i Sundsvall 20</w:t>
            </w:r>
            <w:r>
              <w:rPr>
                <w:rFonts w:cs="Arial"/>
                <w:iCs/>
              </w:rPr>
              <w:t>22-02-15 mål nr: 1633-21</w:t>
            </w:r>
          </w:p>
        </w:tc>
      </w:tr>
      <w:tr w:rsidR="00CF7805" w14:paraId="2B54ACFE" w14:textId="77777777" w:rsidTr="006E4126">
        <w:tc>
          <w:tcPr>
            <w:tcW w:w="7933" w:type="dxa"/>
          </w:tcPr>
          <w:p w14:paraId="4985C147" w14:textId="77777777" w:rsidR="00CF7805" w:rsidRDefault="00CF7805" w:rsidP="006E4126">
            <w:pPr>
              <w:spacing w:after="0"/>
              <w:outlineLvl w:val="0"/>
              <w:rPr>
                <w:rFonts w:cs="Arial"/>
                <w:iCs/>
              </w:rPr>
            </w:pPr>
            <w:r>
              <w:t>Dom Kammarrätten i Göteborg 2020-06-10 mål nr: 1414-20</w:t>
            </w:r>
          </w:p>
        </w:tc>
      </w:tr>
      <w:tr w:rsidR="00CF7805" w14:paraId="63ACE748" w14:textId="77777777" w:rsidTr="006E4126">
        <w:tc>
          <w:tcPr>
            <w:tcW w:w="7933" w:type="dxa"/>
          </w:tcPr>
          <w:p w14:paraId="6A7D4AD6" w14:textId="77777777" w:rsidR="00CF7805" w:rsidRDefault="00CF7805" w:rsidP="006E4126">
            <w:pPr>
              <w:spacing w:after="0"/>
              <w:outlineLvl w:val="0"/>
            </w:pPr>
            <w:r>
              <w:t>Dom i Kammarrätten i Göteborg 2022-03-17 mål nr: 6976-21</w:t>
            </w:r>
          </w:p>
        </w:tc>
      </w:tr>
      <w:tr w:rsidR="00CF7805" w14:paraId="37CBD85C" w14:textId="77777777" w:rsidTr="006E4126">
        <w:tc>
          <w:tcPr>
            <w:tcW w:w="7933" w:type="dxa"/>
          </w:tcPr>
          <w:p w14:paraId="7B319270" w14:textId="77777777" w:rsidR="00CF7805" w:rsidRDefault="00CF7805" w:rsidP="006E4126">
            <w:pPr>
              <w:spacing w:after="0"/>
              <w:outlineLvl w:val="0"/>
            </w:pPr>
            <w:r>
              <w:t>Dom i Kammarrätten i Göteborg 2023-06-27 mål nr:2520-23</w:t>
            </w:r>
          </w:p>
        </w:tc>
      </w:tr>
    </w:tbl>
    <w:p w14:paraId="4655BFE7" w14:textId="0BDB0FC6" w:rsidR="00C92305" w:rsidRDefault="00C92305" w:rsidP="00CF7805">
      <w:pPr>
        <w:pStyle w:val="Rubrik2"/>
      </w:pPr>
      <w:r>
        <w:br w:type="page"/>
      </w:r>
    </w:p>
    <w:p w14:paraId="726BDC22" w14:textId="59F41F28" w:rsidR="00DB2DAC" w:rsidRDefault="00B70B3E" w:rsidP="00DB2DAC">
      <w:pPr>
        <w:pStyle w:val="Rubrik1"/>
      </w:pPr>
      <w:bookmarkStart w:id="14" w:name="_Toc195624222"/>
      <w:r>
        <w:lastRenderedPageBreak/>
        <w:t>Rutin</w:t>
      </w:r>
      <w:bookmarkEnd w:id="14"/>
    </w:p>
    <w:p w14:paraId="557184A2" w14:textId="77777777" w:rsidR="00AA5507" w:rsidRPr="00AA5507" w:rsidRDefault="00AA5507" w:rsidP="00AA5507">
      <w:pPr>
        <w:rPr>
          <w:rFonts w:cstheme="minorHAnsi"/>
        </w:rPr>
      </w:pPr>
      <w:r w:rsidRPr="00AA5507">
        <w:rPr>
          <w:rFonts w:cstheme="minorHAnsi"/>
        </w:rPr>
        <w:t>Socialtjänsten och den sökande ska upprätta en planering som ett led till självförsörjning.</w:t>
      </w:r>
    </w:p>
    <w:p w14:paraId="7EFA2339" w14:textId="77777777" w:rsidR="00AA5507" w:rsidRPr="00AA5507" w:rsidRDefault="00AA5507" w:rsidP="00AA5507">
      <w:pPr>
        <w:rPr>
          <w:rFonts w:cstheme="minorHAnsi"/>
        </w:rPr>
      </w:pPr>
      <w:r w:rsidRPr="00AA5507">
        <w:rPr>
          <w:rFonts w:cstheme="minorHAnsi"/>
        </w:rPr>
        <w:t>Vid ogiltig eller olovlig frånvaro från av socialtjänsten godkänd sysselsättning eller hänvisad insats ska ansökan delvis eller helt avslås. En individuell bedömning behöver alltid göras.</w:t>
      </w:r>
    </w:p>
    <w:p w14:paraId="5D2642E2" w14:textId="77777777" w:rsidR="00AA5507" w:rsidRPr="00AA5507" w:rsidRDefault="00AA5507" w:rsidP="00AA5507">
      <w:pPr>
        <w:rPr>
          <w:rFonts w:cstheme="minorHAnsi"/>
        </w:rPr>
      </w:pPr>
      <w:r w:rsidRPr="00AA5507">
        <w:rPr>
          <w:rFonts w:cstheme="minorHAnsi"/>
        </w:rPr>
        <w:t xml:space="preserve">Vid frånvaro som bedömts vara olovlig tillämpas följande principer; </w:t>
      </w:r>
    </w:p>
    <w:p w14:paraId="1FE0B7A3" w14:textId="77777777" w:rsidR="00AA5507" w:rsidRPr="00AA5507" w:rsidRDefault="00AA5507" w:rsidP="00AA5507">
      <w:pPr>
        <w:pStyle w:val="Liststycke"/>
        <w:numPr>
          <w:ilvl w:val="0"/>
          <w:numId w:val="13"/>
        </w:numPr>
        <w:rPr>
          <w:rFonts w:cstheme="minorHAnsi"/>
        </w:rPr>
      </w:pPr>
      <w:r w:rsidRPr="00AA5507">
        <w:rPr>
          <w:rFonts w:cstheme="minorHAnsi"/>
        </w:rPr>
        <w:t xml:space="preserve">Vid enstaka olovlig frånvaro görs avdrag med 200 kr per tillfälle.  </w:t>
      </w:r>
    </w:p>
    <w:p w14:paraId="0AF1B266" w14:textId="77777777" w:rsidR="00AA5507" w:rsidRPr="00AA5507" w:rsidRDefault="00AA5507" w:rsidP="00AA5507">
      <w:pPr>
        <w:pStyle w:val="Liststycke"/>
        <w:numPr>
          <w:ilvl w:val="0"/>
          <w:numId w:val="13"/>
        </w:numPr>
        <w:rPr>
          <w:rFonts w:cstheme="minorHAnsi"/>
        </w:rPr>
      </w:pPr>
      <w:r w:rsidRPr="00AA5507">
        <w:rPr>
          <w:rFonts w:cstheme="minorHAnsi"/>
        </w:rPr>
        <w:t>Vid upprepad olovlig frånvaro ska övervägande göras om helavslag på ansökan. Aspekter att väga in vid bedömningen är hur den sökandes olovliga frånvaro har sett ut tidigare månader, vilken information som lämnats till sökande samt hur kommunikationen har sett ut avseende frånvaron.</w:t>
      </w:r>
    </w:p>
    <w:p w14:paraId="75559FC9" w14:textId="77777777" w:rsidR="00AA5507" w:rsidRPr="00AA5507" w:rsidRDefault="00AA5507" w:rsidP="00AA5507">
      <w:pPr>
        <w:pStyle w:val="Liststycke"/>
        <w:ind w:left="360"/>
        <w:rPr>
          <w:rFonts w:cstheme="minorHAnsi"/>
        </w:rPr>
      </w:pPr>
      <w:r w:rsidRPr="00AA5507">
        <w:rPr>
          <w:rFonts w:cstheme="minorHAnsi"/>
        </w:rPr>
        <w:t xml:space="preserve">Som riktmärke kan 5 tillfällen per månad tillämpas vid bedömning om helavslag. Ett avslagsbeslut kan även vara aktuellt vid färre antalet dagar av olovlig frånvaro. En individuell bedömning behöver alltid göras. </w:t>
      </w:r>
    </w:p>
    <w:p w14:paraId="70DFCCB7" w14:textId="6D3A389C" w:rsidR="00AA5507" w:rsidRPr="00AA5507" w:rsidRDefault="00AA5507" w:rsidP="00AA5507">
      <w:pPr>
        <w:pStyle w:val="Liststycke"/>
        <w:numPr>
          <w:ilvl w:val="0"/>
          <w:numId w:val="13"/>
        </w:numPr>
        <w:rPr>
          <w:rFonts w:cstheme="minorHAnsi"/>
        </w:rPr>
      </w:pPr>
      <w:r w:rsidRPr="00AA5507">
        <w:rPr>
          <w:rFonts w:cstheme="minorHAnsi"/>
        </w:rPr>
        <w:t xml:space="preserve">Sker nedsättning eller vägras försörjningsstödet med hänvisning till bristande deltagande där anvisning gjorts enligt </w:t>
      </w:r>
      <w:r>
        <w:rPr>
          <w:rFonts w:cstheme="minorHAnsi"/>
        </w:rPr>
        <w:t>12</w:t>
      </w:r>
      <w:r w:rsidRPr="00AA5507">
        <w:rPr>
          <w:rFonts w:cstheme="minorHAnsi"/>
        </w:rPr>
        <w:t xml:space="preserve"> kap 4 § SoL ska tillämpning ske genom </w:t>
      </w:r>
      <w:r>
        <w:rPr>
          <w:rFonts w:cstheme="minorHAnsi"/>
        </w:rPr>
        <w:t>12</w:t>
      </w:r>
      <w:r w:rsidRPr="00AA5507">
        <w:rPr>
          <w:rFonts w:cstheme="minorHAnsi"/>
        </w:rPr>
        <w:t xml:space="preserve"> kap. 5 § SoL.</w:t>
      </w:r>
    </w:p>
    <w:p w14:paraId="491258D7" w14:textId="77777777" w:rsidR="00AA5507" w:rsidRDefault="00AA5507" w:rsidP="00AA5507">
      <w:pPr>
        <w:rPr>
          <w:rFonts w:ascii="Calibri" w:hAnsi="Calibri" w:cs="Calibri"/>
        </w:rPr>
      </w:pPr>
      <w:r w:rsidRPr="00C27075">
        <w:rPr>
          <w:rFonts w:ascii="Calibri" w:hAnsi="Calibri" w:cs="Calibri"/>
        </w:rPr>
        <w:t xml:space="preserve"> </w:t>
      </w:r>
    </w:p>
    <w:p w14:paraId="04378A16" w14:textId="60662124" w:rsidR="00AA5507" w:rsidRPr="00BE6A8E" w:rsidRDefault="00AA5507" w:rsidP="00AA5507">
      <w:pPr>
        <w:rPr>
          <w:b/>
          <w:bCs/>
          <w:i/>
          <w:iCs/>
        </w:rPr>
      </w:pPr>
      <w:r w:rsidRPr="00BE6A8E">
        <w:rPr>
          <w:b/>
          <w:bCs/>
          <w:i/>
          <w:iCs/>
        </w:rPr>
        <w:t xml:space="preserve">Sysselsättning eller hänvisad insats </w:t>
      </w:r>
      <w:r w:rsidRPr="00BE6A8E">
        <w:rPr>
          <w:b/>
          <w:bCs/>
          <w:i/>
          <w:iCs/>
          <w:u w:val="single"/>
        </w:rPr>
        <w:t>kan</w:t>
      </w:r>
      <w:r w:rsidRPr="00BE6A8E">
        <w:rPr>
          <w:b/>
          <w:bCs/>
          <w:i/>
          <w:iCs/>
        </w:rPr>
        <w:t xml:space="preserve"> vara:</w:t>
      </w:r>
    </w:p>
    <w:p w14:paraId="61B92463" w14:textId="77777777" w:rsidR="00AA5507" w:rsidRDefault="00AA5507" w:rsidP="00AA5507">
      <w:pPr>
        <w:pStyle w:val="Liststycke"/>
        <w:numPr>
          <w:ilvl w:val="0"/>
          <w:numId w:val="14"/>
        </w:numPr>
      </w:pPr>
      <w:r>
        <w:t>SFI studier</w:t>
      </w:r>
    </w:p>
    <w:p w14:paraId="16B5E53A" w14:textId="77777777" w:rsidR="00AA5507" w:rsidRDefault="00AA5507" w:rsidP="00AA5507">
      <w:pPr>
        <w:pStyle w:val="Liststycke"/>
        <w:numPr>
          <w:ilvl w:val="0"/>
          <w:numId w:val="14"/>
        </w:numPr>
      </w:pPr>
      <w:r>
        <w:t xml:space="preserve">Aktivitet på Kompetenscentrum </w:t>
      </w:r>
    </w:p>
    <w:p w14:paraId="5B278DD4" w14:textId="77777777" w:rsidR="00AA5507" w:rsidRDefault="00AA5507" w:rsidP="00AA5507">
      <w:pPr>
        <w:pStyle w:val="Liststycke"/>
        <w:numPr>
          <w:ilvl w:val="0"/>
          <w:numId w:val="14"/>
        </w:numPr>
      </w:pPr>
      <w:r>
        <w:t>Insats via Arbetsförmedlingen</w:t>
      </w:r>
    </w:p>
    <w:p w14:paraId="1778DADB" w14:textId="77777777" w:rsidR="00AA5507" w:rsidRDefault="00AA5507" w:rsidP="00AA5507">
      <w:pPr>
        <w:pStyle w:val="Liststycke"/>
        <w:numPr>
          <w:ilvl w:val="0"/>
          <w:numId w:val="14"/>
        </w:numPr>
      </w:pPr>
      <w:r>
        <w:t>Deltagande i projekt</w:t>
      </w:r>
    </w:p>
    <w:p w14:paraId="1270B90F" w14:textId="77777777" w:rsidR="00AA5507" w:rsidRDefault="00AA5507" w:rsidP="00AA5507">
      <w:pPr>
        <w:pStyle w:val="Liststycke"/>
        <w:numPr>
          <w:ilvl w:val="0"/>
          <w:numId w:val="14"/>
        </w:numPr>
      </w:pPr>
      <w:r>
        <w:t>Aktivitet via Finsam</w:t>
      </w:r>
    </w:p>
    <w:p w14:paraId="09784274" w14:textId="77777777" w:rsidR="00AA5507" w:rsidRDefault="00AA5507" w:rsidP="00AA5507">
      <w:pPr>
        <w:pStyle w:val="Liststycke"/>
        <w:numPr>
          <w:ilvl w:val="0"/>
          <w:numId w:val="14"/>
        </w:numPr>
      </w:pPr>
      <w:r>
        <w:t xml:space="preserve">Av socialtjänsten interna självförsörjningsriktade insatser </w:t>
      </w:r>
    </w:p>
    <w:p w14:paraId="4C10B613" w14:textId="77777777" w:rsidR="00CF7805" w:rsidRPr="00CF7805" w:rsidRDefault="00CF7805" w:rsidP="00CF7805"/>
    <w:sectPr w:rsidR="00CF7805" w:rsidRPr="00CF7805" w:rsidSect="0004764B">
      <w:footerReference w:type="default" r:id="rId14"/>
      <w:footerReference w:type="first" r:id="rId15"/>
      <w:pgSz w:w="11906" w:h="16838" w:code="9"/>
      <w:pgMar w:top="1418" w:right="2552" w:bottom="1418" w:left="1418" w:header="737" w:footer="66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E98D" w14:textId="77777777" w:rsidR="004D25C2" w:rsidRDefault="004D25C2" w:rsidP="00BF282B">
      <w:pPr>
        <w:spacing w:after="0" w:line="240" w:lineRule="auto"/>
      </w:pPr>
      <w:r>
        <w:separator/>
      </w:r>
    </w:p>
  </w:endnote>
  <w:endnote w:type="continuationSeparator" w:id="0">
    <w:p w14:paraId="782E47F6" w14:textId="77777777" w:rsidR="004D25C2" w:rsidRDefault="004D25C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29FA764A" w:rsidR="001F7CDB" w:rsidRPr="001F7CDB" w:rsidRDefault="0000000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Content>
              <w:r w:rsidR="00346D7C">
                <w:rPr>
                  <w:rFonts w:asciiTheme="majorHAnsi" w:hAnsiTheme="majorHAnsi" w:cstheme="majorHAnsi"/>
                  <w:sz w:val="18"/>
                  <w:szCs w:val="18"/>
                </w:rPr>
                <w:t>Göteborgs Stads rutin för olovlig frånvaro vid beslut om ekonomiskt bistånd</w:t>
              </w:r>
            </w:sdtContent>
          </w:sdt>
        </w:p>
      </w:tc>
      <w:tc>
        <w:tcPr>
          <w:tcW w:w="1842" w:type="dxa"/>
        </w:tcPr>
        <w:p w14:paraId="01368EA6" w14:textId="197CB23C"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sidR="00B021FE">
            <w:rPr>
              <w:rFonts w:asciiTheme="majorHAnsi" w:hAnsiTheme="majorHAnsi" w:cstheme="majorHAnsi"/>
              <w:sz w:val="18"/>
              <w:szCs w:val="18"/>
            </w:rPr>
            <w:t>4</w:t>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1797" w14:textId="77777777" w:rsidR="004D25C2" w:rsidRDefault="004D25C2" w:rsidP="00BF282B">
      <w:pPr>
        <w:spacing w:after="0" w:line="240" w:lineRule="auto"/>
      </w:pPr>
      <w:r>
        <w:separator/>
      </w:r>
    </w:p>
  </w:footnote>
  <w:footnote w:type="continuationSeparator" w:id="0">
    <w:p w14:paraId="125A3FC9" w14:textId="77777777" w:rsidR="004D25C2" w:rsidRDefault="004D25C2" w:rsidP="00BF282B">
      <w:pPr>
        <w:spacing w:after="0" w:line="240" w:lineRule="auto"/>
      </w:pPr>
      <w:r>
        <w:continuationSeparator/>
      </w:r>
    </w:p>
  </w:footnote>
  <w:footnote w:id="1">
    <w:p w14:paraId="4EDD8DCB" w14:textId="77777777" w:rsidR="00FC254C" w:rsidRDefault="00FC254C" w:rsidP="00FC254C">
      <w:pPr>
        <w:pStyle w:val="Fotnotstext"/>
      </w:pPr>
      <w:r>
        <w:rPr>
          <w:rStyle w:val="Fotnotsreferens"/>
        </w:rPr>
        <w:footnoteRef/>
      </w:r>
      <w:r>
        <w:t xml:space="preserve"> </w:t>
      </w:r>
      <w:r w:rsidRPr="00CF7805">
        <w:rPr>
          <w:rFonts w:cstheme="minorHAnsi"/>
        </w:rPr>
        <w:t>(prop. 1996/97:124 s. 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E703C"/>
    <w:multiLevelType w:val="hybridMultilevel"/>
    <w:tmpl w:val="F2621CCA"/>
    <w:lvl w:ilvl="0" w:tplc="EA4ADEC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AE19B4"/>
    <w:multiLevelType w:val="hybridMultilevel"/>
    <w:tmpl w:val="871E1CFC"/>
    <w:lvl w:ilvl="0" w:tplc="EA4ADECE">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80422825">
    <w:abstractNumId w:val="11"/>
  </w:num>
  <w:num w:numId="2" w16cid:durableId="332490674">
    <w:abstractNumId w:val="13"/>
  </w:num>
  <w:num w:numId="3" w16cid:durableId="276526491">
    <w:abstractNumId w:val="8"/>
  </w:num>
  <w:num w:numId="4" w16cid:durableId="753161546">
    <w:abstractNumId w:val="3"/>
  </w:num>
  <w:num w:numId="5" w16cid:durableId="1084693121">
    <w:abstractNumId w:val="2"/>
  </w:num>
  <w:num w:numId="6" w16cid:durableId="1389649309">
    <w:abstractNumId w:val="1"/>
  </w:num>
  <w:num w:numId="7" w16cid:durableId="635527070">
    <w:abstractNumId w:val="0"/>
  </w:num>
  <w:num w:numId="8" w16cid:durableId="256329011">
    <w:abstractNumId w:val="9"/>
  </w:num>
  <w:num w:numId="9" w16cid:durableId="763500910">
    <w:abstractNumId w:val="7"/>
  </w:num>
  <w:num w:numId="10" w16cid:durableId="1390350135">
    <w:abstractNumId w:val="6"/>
  </w:num>
  <w:num w:numId="11" w16cid:durableId="94062277">
    <w:abstractNumId w:val="5"/>
  </w:num>
  <w:num w:numId="12" w16cid:durableId="1526096690">
    <w:abstractNumId w:val="4"/>
  </w:num>
  <w:num w:numId="13" w16cid:durableId="2086490199">
    <w:abstractNumId w:val="12"/>
  </w:num>
  <w:num w:numId="14" w16cid:durableId="1243295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0577F"/>
    <w:rsid w:val="00031F7D"/>
    <w:rsid w:val="0004764B"/>
    <w:rsid w:val="000845A5"/>
    <w:rsid w:val="000A3F75"/>
    <w:rsid w:val="000C68BA"/>
    <w:rsid w:val="000C7B11"/>
    <w:rsid w:val="000F057E"/>
    <w:rsid w:val="000F2B85"/>
    <w:rsid w:val="000F4292"/>
    <w:rsid w:val="000F6FEA"/>
    <w:rsid w:val="00101B7A"/>
    <w:rsid w:val="00105F42"/>
    <w:rsid w:val="0011061F"/>
    <w:rsid w:val="0011381D"/>
    <w:rsid w:val="00114757"/>
    <w:rsid w:val="00142FEF"/>
    <w:rsid w:val="00151CA1"/>
    <w:rsid w:val="00164CEA"/>
    <w:rsid w:val="00173F0C"/>
    <w:rsid w:val="0019088B"/>
    <w:rsid w:val="001A4E5D"/>
    <w:rsid w:val="001C2218"/>
    <w:rsid w:val="001C5B53"/>
    <w:rsid w:val="001E120D"/>
    <w:rsid w:val="001E3482"/>
    <w:rsid w:val="001F7CDB"/>
    <w:rsid w:val="00223F1E"/>
    <w:rsid w:val="002401B9"/>
    <w:rsid w:val="00241F59"/>
    <w:rsid w:val="00257F49"/>
    <w:rsid w:val="00267ECD"/>
    <w:rsid w:val="002762FC"/>
    <w:rsid w:val="00277238"/>
    <w:rsid w:val="002E2B68"/>
    <w:rsid w:val="002F4846"/>
    <w:rsid w:val="00301CB4"/>
    <w:rsid w:val="003164EC"/>
    <w:rsid w:val="00346D7C"/>
    <w:rsid w:val="00350FEF"/>
    <w:rsid w:val="0036595F"/>
    <w:rsid w:val="00372CB4"/>
    <w:rsid w:val="0039437C"/>
    <w:rsid w:val="003A6BFE"/>
    <w:rsid w:val="003D0609"/>
    <w:rsid w:val="003D123B"/>
    <w:rsid w:val="003F1F52"/>
    <w:rsid w:val="003F4BBF"/>
    <w:rsid w:val="003F5215"/>
    <w:rsid w:val="00400AE6"/>
    <w:rsid w:val="00403399"/>
    <w:rsid w:val="004132AC"/>
    <w:rsid w:val="00414E79"/>
    <w:rsid w:val="004207D1"/>
    <w:rsid w:val="00424C9C"/>
    <w:rsid w:val="00425408"/>
    <w:rsid w:val="0043253D"/>
    <w:rsid w:val="00440D30"/>
    <w:rsid w:val="00473C11"/>
    <w:rsid w:val="0048582C"/>
    <w:rsid w:val="004A0750"/>
    <w:rsid w:val="004A238A"/>
    <w:rsid w:val="004A5252"/>
    <w:rsid w:val="004B287C"/>
    <w:rsid w:val="004C12DE"/>
    <w:rsid w:val="004C78B0"/>
    <w:rsid w:val="004D25C2"/>
    <w:rsid w:val="004D380B"/>
    <w:rsid w:val="004E0B70"/>
    <w:rsid w:val="00502221"/>
    <w:rsid w:val="00504248"/>
    <w:rsid w:val="00521790"/>
    <w:rsid w:val="00523A04"/>
    <w:rsid w:val="00530386"/>
    <w:rsid w:val="00546A7F"/>
    <w:rsid w:val="0055173C"/>
    <w:rsid w:val="005729A0"/>
    <w:rsid w:val="00597ACB"/>
    <w:rsid w:val="005B5ED9"/>
    <w:rsid w:val="005E6622"/>
    <w:rsid w:val="006229B5"/>
    <w:rsid w:val="00624B8D"/>
    <w:rsid w:val="0064187E"/>
    <w:rsid w:val="00671788"/>
    <w:rsid w:val="006764CC"/>
    <w:rsid w:val="00690A7F"/>
    <w:rsid w:val="006932FC"/>
    <w:rsid w:val="006B1AB2"/>
    <w:rsid w:val="006B772F"/>
    <w:rsid w:val="00707A8C"/>
    <w:rsid w:val="007157E2"/>
    <w:rsid w:val="007175F7"/>
    <w:rsid w:val="00720B05"/>
    <w:rsid w:val="00723652"/>
    <w:rsid w:val="007471ED"/>
    <w:rsid w:val="00766929"/>
    <w:rsid w:val="00770200"/>
    <w:rsid w:val="007774D7"/>
    <w:rsid w:val="00777C4F"/>
    <w:rsid w:val="007A4176"/>
    <w:rsid w:val="007B151C"/>
    <w:rsid w:val="007D4DF1"/>
    <w:rsid w:val="007D61A6"/>
    <w:rsid w:val="007E6288"/>
    <w:rsid w:val="007F40CB"/>
    <w:rsid w:val="007F6221"/>
    <w:rsid w:val="00820799"/>
    <w:rsid w:val="00827C35"/>
    <w:rsid w:val="008301D8"/>
    <w:rsid w:val="00831E91"/>
    <w:rsid w:val="00833140"/>
    <w:rsid w:val="00841C54"/>
    <w:rsid w:val="008461BE"/>
    <w:rsid w:val="008760F6"/>
    <w:rsid w:val="008768F1"/>
    <w:rsid w:val="00880F96"/>
    <w:rsid w:val="00883B6D"/>
    <w:rsid w:val="0088669D"/>
    <w:rsid w:val="008A6F90"/>
    <w:rsid w:val="008E1455"/>
    <w:rsid w:val="008F0C46"/>
    <w:rsid w:val="00901A8B"/>
    <w:rsid w:val="0091467B"/>
    <w:rsid w:val="00921DA7"/>
    <w:rsid w:val="009433F3"/>
    <w:rsid w:val="00985ACB"/>
    <w:rsid w:val="009B0C43"/>
    <w:rsid w:val="009D1CB4"/>
    <w:rsid w:val="009D4D5C"/>
    <w:rsid w:val="009D71D5"/>
    <w:rsid w:val="009F5614"/>
    <w:rsid w:val="009F63F9"/>
    <w:rsid w:val="00A074B5"/>
    <w:rsid w:val="00A124E5"/>
    <w:rsid w:val="00A15302"/>
    <w:rsid w:val="00A345C1"/>
    <w:rsid w:val="00A47AD9"/>
    <w:rsid w:val="00A50250"/>
    <w:rsid w:val="00A56BDD"/>
    <w:rsid w:val="00A60380"/>
    <w:rsid w:val="00A66B2B"/>
    <w:rsid w:val="00A8112E"/>
    <w:rsid w:val="00AA0284"/>
    <w:rsid w:val="00AA5507"/>
    <w:rsid w:val="00AB4BFE"/>
    <w:rsid w:val="00AC550F"/>
    <w:rsid w:val="00AE0924"/>
    <w:rsid w:val="00AE3D72"/>
    <w:rsid w:val="00AE5147"/>
    <w:rsid w:val="00AE5F41"/>
    <w:rsid w:val="00B021FE"/>
    <w:rsid w:val="00B26686"/>
    <w:rsid w:val="00B456FF"/>
    <w:rsid w:val="00B5132D"/>
    <w:rsid w:val="00B63E0E"/>
    <w:rsid w:val="00B70B3E"/>
    <w:rsid w:val="00BA1320"/>
    <w:rsid w:val="00BC4991"/>
    <w:rsid w:val="00BD0663"/>
    <w:rsid w:val="00BD0A7E"/>
    <w:rsid w:val="00BD4AAD"/>
    <w:rsid w:val="00BE7E2E"/>
    <w:rsid w:val="00BF282B"/>
    <w:rsid w:val="00C0363D"/>
    <w:rsid w:val="00C045C4"/>
    <w:rsid w:val="00C11AB8"/>
    <w:rsid w:val="00C35D06"/>
    <w:rsid w:val="00C40EA8"/>
    <w:rsid w:val="00C600F5"/>
    <w:rsid w:val="00C73816"/>
    <w:rsid w:val="00C77AF7"/>
    <w:rsid w:val="00C85A21"/>
    <w:rsid w:val="00C92305"/>
    <w:rsid w:val="00C96D16"/>
    <w:rsid w:val="00CB2470"/>
    <w:rsid w:val="00CF0C82"/>
    <w:rsid w:val="00CF4C33"/>
    <w:rsid w:val="00CF7805"/>
    <w:rsid w:val="00D01F11"/>
    <w:rsid w:val="00D07F27"/>
    <w:rsid w:val="00D11F0E"/>
    <w:rsid w:val="00D17C48"/>
    <w:rsid w:val="00D216FC"/>
    <w:rsid w:val="00D21D96"/>
    <w:rsid w:val="00D22966"/>
    <w:rsid w:val="00D33604"/>
    <w:rsid w:val="00D35995"/>
    <w:rsid w:val="00D4105D"/>
    <w:rsid w:val="00D66E09"/>
    <w:rsid w:val="00D66E9D"/>
    <w:rsid w:val="00D713A5"/>
    <w:rsid w:val="00D75209"/>
    <w:rsid w:val="00D8399A"/>
    <w:rsid w:val="00DB2DAC"/>
    <w:rsid w:val="00DC5084"/>
    <w:rsid w:val="00DC59E4"/>
    <w:rsid w:val="00DF152D"/>
    <w:rsid w:val="00DF7A9C"/>
    <w:rsid w:val="00E07694"/>
    <w:rsid w:val="00E11731"/>
    <w:rsid w:val="00E31C04"/>
    <w:rsid w:val="00E32C31"/>
    <w:rsid w:val="00E60A1D"/>
    <w:rsid w:val="00E64FAF"/>
    <w:rsid w:val="00E81440"/>
    <w:rsid w:val="00E97BA3"/>
    <w:rsid w:val="00EA07EC"/>
    <w:rsid w:val="00ED75CA"/>
    <w:rsid w:val="00EE472A"/>
    <w:rsid w:val="00EF1FED"/>
    <w:rsid w:val="00EF388D"/>
    <w:rsid w:val="00EF4F27"/>
    <w:rsid w:val="00F10B70"/>
    <w:rsid w:val="00F14AD0"/>
    <w:rsid w:val="00F230EA"/>
    <w:rsid w:val="00F4117C"/>
    <w:rsid w:val="00F5748A"/>
    <w:rsid w:val="00F57801"/>
    <w:rsid w:val="00F634BC"/>
    <w:rsid w:val="00F65AD5"/>
    <w:rsid w:val="00F66187"/>
    <w:rsid w:val="00F91194"/>
    <w:rsid w:val="00FA0781"/>
    <w:rsid w:val="00FB3384"/>
    <w:rsid w:val="00FC254C"/>
    <w:rsid w:val="00FC5DC7"/>
    <w:rsid w:val="00FD2FB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67AD2671-A0A6-48F4-9B8A-37BA1742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D1"/>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character" w:customStyle="1" w:styleId="normaltextrun">
    <w:name w:val="normaltextrun"/>
    <w:basedOn w:val="Standardstycketeckensnitt"/>
    <w:rsid w:val="00EF4F27"/>
  </w:style>
  <w:style w:type="character" w:customStyle="1" w:styleId="eop">
    <w:name w:val="eop"/>
    <w:basedOn w:val="Standardstycketeckensnitt"/>
    <w:rsid w:val="00EF4F27"/>
  </w:style>
  <w:style w:type="paragraph" w:styleId="Fotnotstext">
    <w:name w:val="footnote text"/>
    <w:basedOn w:val="Normal"/>
    <w:link w:val="FotnotstextChar"/>
    <w:uiPriority w:val="99"/>
    <w:semiHidden/>
    <w:unhideWhenUsed/>
    <w:rsid w:val="00AE3D7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E3D72"/>
    <w:rPr>
      <w:sz w:val="20"/>
      <w:szCs w:val="20"/>
    </w:rPr>
  </w:style>
  <w:style w:type="character" w:styleId="Fotnotsreferens">
    <w:name w:val="footnote reference"/>
    <w:basedOn w:val="Standardstycketeckensnitt"/>
    <w:uiPriority w:val="99"/>
    <w:semiHidden/>
    <w:unhideWhenUsed/>
    <w:rsid w:val="00AE3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at.goteborg.se/wps/portal/int?uri=gbglnk:Intranat.styrandedokument&amp;dominoURL=https://www4.goteborg.se/prod/Stadsledningskontoret/LIS/Verksamhetshandbok/Forfattn.nsf/0/6C5BECAACA1950ECC1257F38004370A9?OpenDocu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6"/>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C74B0"/>
    <w:rsid w:val="00114F0C"/>
    <w:rsid w:val="00127BE4"/>
    <w:rsid w:val="0016444C"/>
    <w:rsid w:val="00263706"/>
    <w:rsid w:val="002C6B8F"/>
    <w:rsid w:val="002D00B6"/>
    <w:rsid w:val="003345A5"/>
    <w:rsid w:val="004150D8"/>
    <w:rsid w:val="004B3108"/>
    <w:rsid w:val="004C1105"/>
    <w:rsid w:val="00544F30"/>
    <w:rsid w:val="005E4598"/>
    <w:rsid w:val="006241A7"/>
    <w:rsid w:val="007007D2"/>
    <w:rsid w:val="0081684B"/>
    <w:rsid w:val="00901A8B"/>
    <w:rsid w:val="00AE3BA2"/>
    <w:rsid w:val="00C600F5"/>
    <w:rsid w:val="00C901C1"/>
    <w:rsid w:val="00E114FA"/>
    <w:rsid w:val="00E242BD"/>
    <w:rsid w:val="00E95189"/>
    <w:rsid w:val="00F91194"/>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DD8D464B91064546AD78912D21F0C7D66">
    <w:name w:val="DD8D464B91064546AD78912D21F0C7D6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2.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6392</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Göteborgs Stads rutin</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rutin för olovlig frånvaro vid beslut om ekonomiskt bistånd</dc:title>
  <dc:subject/>
  <dc:creator>Göteborgs Stad</dc:creator>
  <dc:description/>
  <cp:lastModifiedBy>Fredrik Jansson</cp:lastModifiedBy>
  <cp:revision>9</cp:revision>
  <cp:lastPrinted>2025-04-15T13:49:00Z</cp:lastPrinted>
  <dcterms:created xsi:type="dcterms:W3CDTF">2025-04-15T13:01:00Z</dcterms:created>
  <dcterms:modified xsi:type="dcterms:W3CDTF">2025-06-17T08:54:00Z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